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6377" w14:textId="77777777" w:rsidR="003F7D55" w:rsidRDefault="003F7D55" w:rsidP="003F7D55">
      <w:pPr>
        <w:pStyle w:val="Titel"/>
        <w:jc w:val="center"/>
      </w:pPr>
      <w:bookmarkStart w:id="0" w:name="_GoBack"/>
      <w:bookmarkEnd w:id="0"/>
    </w:p>
    <w:p w14:paraId="41AF9829" w14:textId="77777777" w:rsidR="003F7D55" w:rsidRDefault="003F7D55" w:rsidP="003F7D55">
      <w:pPr>
        <w:pStyle w:val="Titel"/>
        <w:jc w:val="center"/>
      </w:pPr>
    </w:p>
    <w:p w14:paraId="315D3D5D" w14:textId="3A906DC0" w:rsidR="003F7D55" w:rsidRPr="009D1374" w:rsidRDefault="003F7D55" w:rsidP="003F7D55">
      <w:pPr>
        <w:pStyle w:val="Titel"/>
        <w:jc w:val="center"/>
        <w:rPr>
          <w:rFonts w:ascii="Arial" w:hAnsi="Arial" w:cs="Arial"/>
          <w:sz w:val="48"/>
          <w:szCs w:val="48"/>
          <w:lang w:val="nl-BE"/>
        </w:rPr>
      </w:pPr>
      <w:r w:rsidRPr="009D1374">
        <w:rPr>
          <w:sz w:val="48"/>
          <w:szCs w:val="48"/>
          <w:lang w:val="nl-BE"/>
        </w:rPr>
        <w:t>ATTEST</w:t>
      </w:r>
    </w:p>
    <w:p w14:paraId="2A6C3FDA" w14:textId="5800354A" w:rsidR="009D1374" w:rsidRPr="009D1374" w:rsidRDefault="001C500D" w:rsidP="003F7D55">
      <w:pPr>
        <w:pStyle w:val="Titel"/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V</w:t>
      </w:r>
      <w:r w:rsidR="003F7D55" w:rsidRPr="009D1374">
        <w:rPr>
          <w:sz w:val="48"/>
          <w:szCs w:val="48"/>
          <w:lang w:val="nl-BE"/>
        </w:rPr>
        <w:t>erplaatsing</w:t>
      </w:r>
      <w:r w:rsidR="00906C26" w:rsidRPr="009D1374">
        <w:rPr>
          <w:sz w:val="48"/>
          <w:szCs w:val="48"/>
          <w:lang w:val="nl-BE"/>
        </w:rPr>
        <w:t xml:space="preserve"> </w:t>
      </w:r>
      <w:r>
        <w:rPr>
          <w:sz w:val="48"/>
          <w:szCs w:val="48"/>
          <w:lang w:val="nl-BE"/>
        </w:rPr>
        <w:t>in het kader van essentiële diensten</w:t>
      </w:r>
    </w:p>
    <w:p w14:paraId="360568DB" w14:textId="6D9E6B43" w:rsidR="009D1374" w:rsidRPr="009D1374" w:rsidRDefault="00906C26" w:rsidP="003F7D55">
      <w:pPr>
        <w:pStyle w:val="Titel"/>
        <w:jc w:val="center"/>
        <w:rPr>
          <w:i/>
          <w:iCs/>
          <w:sz w:val="24"/>
          <w:szCs w:val="24"/>
          <w:lang w:val="nl-BE"/>
        </w:rPr>
      </w:pPr>
      <w:r w:rsidRPr="009D1374">
        <w:rPr>
          <w:i/>
          <w:iCs/>
          <w:sz w:val="24"/>
          <w:szCs w:val="24"/>
          <w:lang w:val="nl-BE"/>
        </w:rPr>
        <w:t xml:space="preserve">in de zin van artikel 8 van het Ministerieel </w:t>
      </w:r>
      <w:r w:rsidR="009806AA">
        <w:rPr>
          <w:i/>
          <w:iCs/>
          <w:sz w:val="24"/>
          <w:szCs w:val="24"/>
          <w:lang w:val="nl-BE"/>
        </w:rPr>
        <w:t>B</w:t>
      </w:r>
      <w:r w:rsidRPr="009D1374">
        <w:rPr>
          <w:i/>
          <w:iCs/>
          <w:sz w:val="24"/>
          <w:szCs w:val="24"/>
          <w:lang w:val="nl-BE"/>
        </w:rPr>
        <w:t>esluit van 23 maart 2020 houdende dringende maatregelen om de verspreiding van het coronavirus</w:t>
      </w:r>
      <w:r w:rsidR="00934CBE">
        <w:rPr>
          <w:i/>
          <w:iCs/>
          <w:sz w:val="24"/>
          <w:szCs w:val="24"/>
          <w:lang w:val="nl-BE"/>
        </w:rPr>
        <w:t xml:space="preserve"> COVID-19 </w:t>
      </w:r>
      <w:r w:rsidR="00916CBC">
        <w:rPr>
          <w:i/>
          <w:iCs/>
          <w:sz w:val="24"/>
          <w:szCs w:val="24"/>
          <w:lang w:val="nl-BE"/>
        </w:rPr>
        <w:t xml:space="preserve"> te beperken</w:t>
      </w:r>
    </w:p>
    <w:p w14:paraId="4B4FFB52" w14:textId="1B092F07" w:rsidR="003F7D55" w:rsidRPr="009D1374" w:rsidRDefault="009D1374" w:rsidP="003F7D55">
      <w:pPr>
        <w:pStyle w:val="Titel"/>
        <w:jc w:val="center"/>
        <w:rPr>
          <w:i/>
          <w:iCs/>
          <w:sz w:val="24"/>
          <w:szCs w:val="24"/>
          <w:lang w:val="nl-BE"/>
        </w:rPr>
      </w:pPr>
      <w:r w:rsidRPr="009D1374">
        <w:rPr>
          <w:i/>
          <w:iCs/>
          <w:sz w:val="24"/>
          <w:szCs w:val="24"/>
          <w:lang w:val="nl-BE"/>
        </w:rPr>
        <w:t>(</w:t>
      </w:r>
      <w:r w:rsidR="00906C26" w:rsidRPr="009D1374">
        <w:rPr>
          <w:i/>
          <w:iCs/>
          <w:sz w:val="24"/>
          <w:szCs w:val="24"/>
          <w:lang w:val="nl-BE"/>
        </w:rPr>
        <w:t xml:space="preserve">zoals gewijzigd door </w:t>
      </w:r>
      <w:r w:rsidRPr="009D1374">
        <w:rPr>
          <w:i/>
          <w:iCs/>
          <w:sz w:val="24"/>
          <w:szCs w:val="24"/>
          <w:lang w:val="nl-BE"/>
        </w:rPr>
        <w:t xml:space="preserve">de Ministeriële </w:t>
      </w:r>
      <w:r w:rsidR="009806AA">
        <w:rPr>
          <w:i/>
          <w:iCs/>
          <w:sz w:val="24"/>
          <w:szCs w:val="24"/>
          <w:lang w:val="nl-BE"/>
        </w:rPr>
        <w:t>B</w:t>
      </w:r>
      <w:r w:rsidRPr="009D1374">
        <w:rPr>
          <w:i/>
          <w:iCs/>
          <w:sz w:val="24"/>
          <w:szCs w:val="24"/>
          <w:lang w:val="nl-BE"/>
        </w:rPr>
        <w:t>esluiten van 24 maart 202</w:t>
      </w:r>
      <w:r w:rsidR="001C500D">
        <w:rPr>
          <w:i/>
          <w:iCs/>
          <w:sz w:val="24"/>
          <w:szCs w:val="24"/>
          <w:lang w:val="nl-BE"/>
        </w:rPr>
        <w:t xml:space="preserve">0, </w:t>
      </w:r>
      <w:r w:rsidR="002B5D72">
        <w:rPr>
          <w:i/>
          <w:iCs/>
          <w:sz w:val="24"/>
          <w:szCs w:val="24"/>
          <w:lang w:val="nl-BE"/>
        </w:rPr>
        <w:t xml:space="preserve"> </w:t>
      </w:r>
      <w:r w:rsidRPr="009D1374">
        <w:rPr>
          <w:i/>
          <w:iCs/>
          <w:sz w:val="24"/>
          <w:szCs w:val="24"/>
          <w:lang w:val="nl-BE"/>
        </w:rPr>
        <w:t>3 april 2020</w:t>
      </w:r>
      <w:r w:rsidR="001C500D">
        <w:rPr>
          <w:i/>
          <w:iCs/>
          <w:sz w:val="24"/>
          <w:szCs w:val="24"/>
          <w:lang w:val="nl-BE"/>
        </w:rPr>
        <w:t xml:space="preserve"> en 17 april 2020</w:t>
      </w:r>
      <w:r w:rsidRPr="009D1374">
        <w:rPr>
          <w:i/>
          <w:iCs/>
          <w:sz w:val="24"/>
          <w:szCs w:val="24"/>
          <w:lang w:val="nl-BE"/>
        </w:rPr>
        <w:t>)</w:t>
      </w:r>
    </w:p>
    <w:p w14:paraId="6072209F" w14:textId="77777777" w:rsidR="003F7D55" w:rsidRPr="00906C26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3561BF71" w14:textId="42D2BEF5" w:rsidR="009D1374" w:rsidRDefault="009D1374" w:rsidP="003F7D55">
      <w:pPr>
        <w:pStyle w:val="Content"/>
        <w:spacing w:after="0"/>
        <w:rPr>
          <w:b/>
          <w:bCs/>
          <w:color w:val="0E314C"/>
          <w:spacing w:val="2"/>
          <w:lang w:val="nl-BE"/>
        </w:rPr>
      </w:pPr>
      <w:r>
        <w:rPr>
          <w:b/>
          <w:bCs/>
          <w:color w:val="0E314C"/>
          <w:spacing w:val="2"/>
          <w:lang w:val="nl-BE"/>
        </w:rPr>
        <w:t xml:space="preserve">Datum: </w:t>
      </w:r>
    </w:p>
    <w:p w14:paraId="29F49246" w14:textId="269C5608" w:rsidR="009D1374" w:rsidRDefault="009D1374" w:rsidP="003F7D55">
      <w:pPr>
        <w:pStyle w:val="Content"/>
        <w:spacing w:after="0"/>
        <w:rPr>
          <w:b/>
          <w:bCs/>
          <w:color w:val="0E314C"/>
          <w:spacing w:val="2"/>
          <w:lang w:val="nl-BE"/>
        </w:rPr>
      </w:pPr>
    </w:p>
    <w:p w14:paraId="68A5D173" w14:textId="3CF374EA" w:rsidR="009D1374" w:rsidRPr="00D83BBE" w:rsidRDefault="001C500D" w:rsidP="009D1374">
      <w:pPr>
        <w:pStyle w:val="Content"/>
        <w:spacing w:after="0"/>
        <w:rPr>
          <w:b/>
          <w:bCs/>
          <w:color w:val="0E314C"/>
          <w:spacing w:val="2"/>
          <w:lang w:val="nl-BE"/>
        </w:rPr>
      </w:pPr>
      <w:r>
        <w:rPr>
          <w:b/>
          <w:bCs/>
          <w:color w:val="0E314C"/>
          <w:spacing w:val="2"/>
          <w:lang w:val="nl-BE"/>
        </w:rPr>
        <w:t>Verplaatsing in het kader van essentiële diensten verricht door accountants, belastingconsulenten, erkend boekhouders en erkend boekhouder-fiscalisten (leden ITAA).</w:t>
      </w:r>
    </w:p>
    <w:p w14:paraId="66D100D0" w14:textId="5E27FC21" w:rsidR="009D1374" w:rsidRDefault="009D1374" w:rsidP="009D1374">
      <w:pPr>
        <w:pStyle w:val="Content"/>
        <w:spacing w:after="0"/>
        <w:rPr>
          <w:color w:val="0E314C"/>
          <w:spacing w:val="2"/>
          <w:lang w:val="nl-BE"/>
        </w:rPr>
      </w:pPr>
    </w:p>
    <w:p w14:paraId="3F006816" w14:textId="0DA5F5A1" w:rsidR="009D1374" w:rsidRDefault="009D1374" w:rsidP="009D1374">
      <w:pPr>
        <w:pStyle w:val="Content"/>
        <w:spacing w:after="0"/>
        <w:rPr>
          <w:color w:val="0E314C"/>
          <w:spacing w:val="2"/>
          <w:lang w:val="nl-BE"/>
        </w:rPr>
      </w:pPr>
    </w:p>
    <w:p w14:paraId="32CCC89A" w14:textId="77777777" w:rsidR="009D1374" w:rsidRDefault="009D1374" w:rsidP="009D1374">
      <w:pPr>
        <w:pStyle w:val="Content"/>
        <w:spacing w:after="0"/>
        <w:rPr>
          <w:color w:val="0E314C"/>
          <w:spacing w:val="2"/>
          <w:lang w:val="nl-BE"/>
        </w:rPr>
      </w:pPr>
    </w:p>
    <w:p w14:paraId="7B192099" w14:textId="77777777" w:rsidR="009D1374" w:rsidRDefault="009D1374" w:rsidP="009D1374">
      <w:pPr>
        <w:pStyle w:val="Content"/>
        <w:spacing w:after="0"/>
        <w:rPr>
          <w:color w:val="0E314C"/>
          <w:spacing w:val="2"/>
          <w:lang w:val="nl-BE"/>
        </w:rPr>
      </w:pPr>
    </w:p>
    <w:p w14:paraId="0E048326" w14:textId="77777777" w:rsidR="009D1374" w:rsidRPr="003F7D55" w:rsidRDefault="009D1374" w:rsidP="009D1374">
      <w:pPr>
        <w:pStyle w:val="Content"/>
        <w:spacing w:after="0"/>
        <w:rPr>
          <w:color w:val="0E314C"/>
          <w:spacing w:val="2"/>
          <w:lang w:val="nl-BE"/>
        </w:rPr>
      </w:pPr>
      <w:r w:rsidRPr="009D1374">
        <w:rPr>
          <w:b/>
          <w:bCs/>
          <w:color w:val="0E314C"/>
          <w:spacing w:val="2"/>
          <w:lang w:val="nl-BE"/>
        </w:rPr>
        <w:t>Doel van de verplaatsing</w:t>
      </w:r>
      <w:r>
        <w:rPr>
          <w:color w:val="0E314C"/>
          <w:spacing w:val="2"/>
          <w:lang w:val="nl-BE"/>
        </w:rPr>
        <w:t xml:space="preserve">: </w:t>
      </w:r>
    </w:p>
    <w:p w14:paraId="569D3923" w14:textId="77777777" w:rsidR="009D1374" w:rsidRDefault="009D1374" w:rsidP="003F7D55">
      <w:pPr>
        <w:pStyle w:val="Content"/>
        <w:spacing w:after="0"/>
        <w:rPr>
          <w:b/>
          <w:bCs/>
          <w:color w:val="0E314C"/>
          <w:spacing w:val="2"/>
          <w:lang w:val="nl-BE"/>
        </w:rPr>
      </w:pPr>
    </w:p>
    <w:p w14:paraId="28F9556A" w14:textId="75388EBD" w:rsidR="009D1374" w:rsidRDefault="009D1374" w:rsidP="003F7D55">
      <w:pPr>
        <w:pStyle w:val="Content"/>
        <w:spacing w:after="0"/>
        <w:rPr>
          <w:b/>
          <w:bCs/>
          <w:color w:val="0E314C"/>
          <w:spacing w:val="2"/>
          <w:lang w:val="nl-BE"/>
        </w:rPr>
      </w:pPr>
    </w:p>
    <w:p w14:paraId="15C8DDDA" w14:textId="55F3AAF8" w:rsidR="009D1374" w:rsidRDefault="009D1374" w:rsidP="003F7D55">
      <w:pPr>
        <w:pStyle w:val="Content"/>
        <w:spacing w:after="0"/>
        <w:rPr>
          <w:b/>
          <w:bCs/>
          <w:color w:val="0E314C"/>
          <w:spacing w:val="2"/>
          <w:lang w:val="nl-BE"/>
        </w:rPr>
      </w:pPr>
    </w:p>
    <w:p w14:paraId="7FF2BD76" w14:textId="77777777" w:rsidR="009D1374" w:rsidRDefault="009D1374" w:rsidP="003F7D55">
      <w:pPr>
        <w:pStyle w:val="Content"/>
        <w:spacing w:after="0"/>
        <w:rPr>
          <w:b/>
          <w:bCs/>
          <w:color w:val="0E314C"/>
          <w:spacing w:val="2"/>
          <w:lang w:val="nl-BE"/>
        </w:rPr>
      </w:pPr>
    </w:p>
    <w:p w14:paraId="7EBDE0DB" w14:textId="1914287B" w:rsidR="003F7D55" w:rsidRPr="003F7D55" w:rsidRDefault="003F7D55" w:rsidP="003F7D55">
      <w:pPr>
        <w:pStyle w:val="Content"/>
        <w:spacing w:after="0"/>
        <w:rPr>
          <w:b/>
          <w:bCs/>
          <w:color w:val="0E314C"/>
          <w:spacing w:val="2"/>
          <w:lang w:val="nl-BE"/>
        </w:rPr>
      </w:pPr>
      <w:r w:rsidRPr="003F7D55">
        <w:rPr>
          <w:b/>
          <w:bCs/>
          <w:color w:val="0E314C"/>
          <w:spacing w:val="2"/>
          <w:lang w:val="nl-BE"/>
        </w:rPr>
        <w:t xml:space="preserve">Van : </w:t>
      </w:r>
    </w:p>
    <w:p w14:paraId="3D486837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2A955D99" w14:textId="63E8C05B" w:rsidR="003F7D55" w:rsidRPr="003F7D55" w:rsidRDefault="009D1374" w:rsidP="003F7D55">
      <w:pPr>
        <w:pStyle w:val="Content"/>
        <w:spacing w:after="0"/>
        <w:rPr>
          <w:color w:val="0E314C"/>
          <w:spacing w:val="2"/>
          <w:lang w:val="nl-BE"/>
        </w:rPr>
      </w:pPr>
      <w:r>
        <w:rPr>
          <w:color w:val="0E314C"/>
          <w:spacing w:val="2"/>
          <w:lang w:val="nl-BE"/>
        </w:rPr>
        <w:t>Lid ITAA</w:t>
      </w:r>
      <w:r w:rsidR="003F7D55" w:rsidRPr="003F7D55">
        <w:rPr>
          <w:color w:val="0E314C"/>
          <w:spacing w:val="2"/>
          <w:lang w:val="nl-BE"/>
        </w:rPr>
        <w:t>/Onderneming :</w:t>
      </w:r>
    </w:p>
    <w:p w14:paraId="16FA51AB" w14:textId="6A21CE4D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  <w:r w:rsidRPr="003F7D55">
        <w:rPr>
          <w:color w:val="0E314C"/>
          <w:spacing w:val="2"/>
          <w:lang w:val="nl-BE"/>
        </w:rPr>
        <w:t xml:space="preserve">Ondernemingsnummer : </w:t>
      </w:r>
    </w:p>
    <w:p w14:paraId="60B9E1BA" w14:textId="309423E0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  <w:r w:rsidRPr="003F7D55">
        <w:rPr>
          <w:color w:val="0E314C"/>
          <w:spacing w:val="2"/>
          <w:lang w:val="nl-BE"/>
        </w:rPr>
        <w:t xml:space="preserve">Adres : </w:t>
      </w:r>
    </w:p>
    <w:p w14:paraId="5C1CED5B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66778119" w14:textId="551D2A4D" w:rsid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5AECA18A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589B7992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4258BF2F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014940D3" w14:textId="2FE04F44" w:rsidR="003F7D55" w:rsidRPr="003F7D55" w:rsidRDefault="003F7D55" w:rsidP="003F7D55">
      <w:pPr>
        <w:pStyle w:val="Content"/>
        <w:spacing w:after="0"/>
        <w:rPr>
          <w:b/>
          <w:bCs/>
          <w:color w:val="0E314C"/>
          <w:spacing w:val="2"/>
          <w:lang w:val="nl-BE"/>
        </w:rPr>
      </w:pPr>
      <w:r w:rsidRPr="003F7D55">
        <w:rPr>
          <w:b/>
          <w:bCs/>
          <w:color w:val="0E314C"/>
          <w:spacing w:val="2"/>
          <w:lang w:val="nl-BE"/>
        </w:rPr>
        <w:t xml:space="preserve">Naar: </w:t>
      </w:r>
    </w:p>
    <w:p w14:paraId="64741529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55DF3987" w14:textId="6E330733" w:rsidR="003F7D55" w:rsidRPr="003F7D55" w:rsidRDefault="009D1374" w:rsidP="003F7D55">
      <w:pPr>
        <w:pStyle w:val="Content"/>
        <w:spacing w:after="0"/>
        <w:rPr>
          <w:color w:val="0E314C"/>
          <w:spacing w:val="2"/>
          <w:lang w:val="nl-BE"/>
        </w:rPr>
      </w:pPr>
      <w:r>
        <w:rPr>
          <w:color w:val="0E314C"/>
          <w:spacing w:val="2"/>
          <w:lang w:val="nl-BE"/>
        </w:rPr>
        <w:t>Lid ITAA</w:t>
      </w:r>
      <w:r w:rsidR="003F7D55" w:rsidRPr="003F7D55">
        <w:rPr>
          <w:color w:val="0E314C"/>
          <w:spacing w:val="2"/>
          <w:lang w:val="nl-BE"/>
        </w:rPr>
        <w:t>/Onderneming :</w:t>
      </w:r>
    </w:p>
    <w:p w14:paraId="6FAECC5A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  <w:r w:rsidRPr="003F7D55">
        <w:rPr>
          <w:color w:val="0E314C"/>
          <w:spacing w:val="2"/>
          <w:lang w:val="nl-BE"/>
        </w:rPr>
        <w:t xml:space="preserve">Ondernemingsnummer : </w:t>
      </w:r>
    </w:p>
    <w:p w14:paraId="1FE29082" w14:textId="2F2E13E4" w:rsid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  <w:r w:rsidRPr="003F7D55">
        <w:rPr>
          <w:color w:val="0E314C"/>
          <w:spacing w:val="2"/>
          <w:lang w:val="nl-BE"/>
        </w:rPr>
        <w:t xml:space="preserve">Adres : </w:t>
      </w:r>
    </w:p>
    <w:p w14:paraId="15BDE225" w14:textId="3099653E" w:rsidR="009D1374" w:rsidRDefault="009D1374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07CDDBC6" w14:textId="77777777" w:rsidR="009D1374" w:rsidRDefault="009D1374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017691BE" w14:textId="3CC1E1BE" w:rsidR="00906C26" w:rsidRDefault="00906C26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400BEC24" w14:textId="4DF9396F" w:rsidR="00906C26" w:rsidRDefault="00906C26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6A6FC967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39C9EFB7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37E1FEB0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04B753E7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p w14:paraId="13420284" w14:textId="57550759" w:rsidR="003F7D55" w:rsidRPr="003F7D55" w:rsidRDefault="003F7D55" w:rsidP="009D1374">
      <w:pPr>
        <w:pStyle w:val="Content"/>
        <w:spacing w:after="0"/>
        <w:jc w:val="center"/>
        <w:rPr>
          <w:b/>
          <w:bCs/>
          <w:color w:val="0E314C"/>
          <w:spacing w:val="2"/>
          <w:lang w:val="nl-BE"/>
        </w:rPr>
      </w:pPr>
      <w:r>
        <w:rPr>
          <w:b/>
          <w:bCs/>
          <w:color w:val="0E314C"/>
          <w:spacing w:val="2"/>
          <w:lang w:val="nl-BE"/>
        </w:rPr>
        <w:t>V</w:t>
      </w:r>
      <w:r w:rsidRPr="003F7D55">
        <w:rPr>
          <w:b/>
          <w:bCs/>
          <w:color w:val="0E314C"/>
          <w:spacing w:val="2"/>
          <w:lang w:val="nl-BE"/>
        </w:rPr>
        <w:t xml:space="preserve">erplaatsingen </w:t>
      </w:r>
      <w:r w:rsidR="001C500D">
        <w:rPr>
          <w:b/>
          <w:bCs/>
          <w:color w:val="0E314C"/>
          <w:spacing w:val="2"/>
          <w:lang w:val="nl-BE"/>
        </w:rPr>
        <w:t xml:space="preserve">van leden van het ITAA en hun cliënteel </w:t>
      </w:r>
      <w:r w:rsidRPr="003F7D55">
        <w:rPr>
          <w:b/>
          <w:bCs/>
          <w:color w:val="0E314C"/>
          <w:spacing w:val="2"/>
          <w:lang w:val="nl-BE"/>
        </w:rPr>
        <w:t xml:space="preserve">in het kader van </w:t>
      </w:r>
      <w:r w:rsidR="001C500D">
        <w:rPr>
          <w:b/>
          <w:bCs/>
          <w:color w:val="0E314C"/>
          <w:spacing w:val="2"/>
          <w:lang w:val="nl-BE"/>
        </w:rPr>
        <w:t>het verrichten van essentiële diensten door de leden van het ITAA</w:t>
      </w:r>
    </w:p>
    <w:p w14:paraId="23876B75" w14:textId="7407D10C" w:rsidR="003F7D55" w:rsidRDefault="003F7D55" w:rsidP="009D1374">
      <w:pPr>
        <w:pStyle w:val="Content"/>
        <w:spacing w:after="0"/>
        <w:jc w:val="center"/>
        <w:rPr>
          <w:color w:val="0E314C"/>
          <w:spacing w:val="2"/>
          <w:lang w:val="nl-BE"/>
        </w:rPr>
      </w:pPr>
      <w:r w:rsidRPr="003F7D55">
        <w:rPr>
          <w:color w:val="0E314C"/>
          <w:spacing w:val="2"/>
          <w:lang w:val="nl-BE"/>
        </w:rPr>
        <w:t xml:space="preserve">Gelet op </w:t>
      </w:r>
      <w:r w:rsidRPr="003F7D55">
        <w:rPr>
          <w:i/>
          <w:iCs/>
          <w:color w:val="0E314C"/>
          <w:spacing w:val="2"/>
          <w:lang w:val="nl-BE"/>
        </w:rPr>
        <w:t>het Ministerieel Besluit van 23 maart 2020 houdende dringende maatregelen om de verspreiding van het coronavirus COVID-19 te beperken</w:t>
      </w:r>
      <w:r w:rsidR="009806AA">
        <w:rPr>
          <w:i/>
          <w:iCs/>
          <w:color w:val="0E314C"/>
          <w:spacing w:val="2"/>
          <w:lang w:val="nl-BE"/>
        </w:rPr>
        <w:t>, zoals gewijzigd door de Ministeriële besluiten van 24 maart 2020</w:t>
      </w:r>
      <w:r w:rsidR="001C500D">
        <w:rPr>
          <w:i/>
          <w:iCs/>
          <w:color w:val="0E314C"/>
          <w:spacing w:val="2"/>
          <w:lang w:val="nl-BE"/>
        </w:rPr>
        <w:t xml:space="preserve">, </w:t>
      </w:r>
      <w:r w:rsidR="009806AA">
        <w:rPr>
          <w:i/>
          <w:iCs/>
          <w:color w:val="0E314C"/>
          <w:spacing w:val="2"/>
          <w:lang w:val="nl-BE"/>
        </w:rPr>
        <w:t>3 april 2020</w:t>
      </w:r>
      <w:r w:rsidR="001C500D">
        <w:rPr>
          <w:i/>
          <w:iCs/>
          <w:color w:val="0E314C"/>
          <w:spacing w:val="2"/>
          <w:lang w:val="nl-BE"/>
        </w:rPr>
        <w:t xml:space="preserve"> en 17 maart 2020</w:t>
      </w:r>
      <w:r w:rsidRPr="003F7D55">
        <w:rPr>
          <w:color w:val="0E314C"/>
          <w:spacing w:val="2"/>
          <w:lang w:val="nl-BE"/>
        </w:rPr>
        <w:t>:</w:t>
      </w:r>
    </w:p>
    <w:p w14:paraId="653794C0" w14:textId="77777777" w:rsidR="003F7D55" w:rsidRPr="003F7D55" w:rsidRDefault="003F7D55" w:rsidP="003F7D55">
      <w:pPr>
        <w:pStyle w:val="Content"/>
        <w:spacing w:after="0"/>
        <w:rPr>
          <w:b/>
          <w:color w:val="0E314C"/>
          <w:spacing w:val="2"/>
          <w:u w:val="single"/>
          <w:lang w:val="nl-BE"/>
        </w:rPr>
      </w:pPr>
    </w:p>
    <w:p w14:paraId="2C3B521E" w14:textId="6F3AC6A4" w:rsidR="003F7D55" w:rsidRPr="003F7D55" w:rsidRDefault="003F7D55" w:rsidP="003F7D55">
      <w:pPr>
        <w:pStyle w:val="Content"/>
        <w:numPr>
          <w:ilvl w:val="0"/>
          <w:numId w:val="3"/>
        </w:numPr>
        <w:spacing w:after="0"/>
        <w:rPr>
          <w:b/>
          <w:bCs/>
          <w:color w:val="0E314C"/>
          <w:spacing w:val="2"/>
          <w:u w:val="single"/>
          <w:lang w:val="nl-BE"/>
        </w:rPr>
      </w:pPr>
      <w:r w:rsidRPr="003F7D55">
        <w:rPr>
          <w:b/>
          <w:bCs/>
          <w:color w:val="0E314C"/>
          <w:spacing w:val="2"/>
          <w:u w:val="single"/>
          <w:lang w:val="nl-BE"/>
        </w:rPr>
        <w:t xml:space="preserve">Accountants, belastingconsulenten, erkend boekhouders en erkend boekhouder-fiscalisten </w:t>
      </w:r>
      <w:r w:rsidR="001C500D">
        <w:rPr>
          <w:b/>
          <w:bCs/>
          <w:color w:val="0E314C"/>
          <w:spacing w:val="2"/>
          <w:u w:val="single"/>
          <w:lang w:val="nl-BE"/>
        </w:rPr>
        <w:t>verrichten essentiële diensten, zoals bedoeld in artikel 3 van het MB van 23 maart 2020</w:t>
      </w:r>
    </w:p>
    <w:p w14:paraId="241A501F" w14:textId="77777777" w:rsidR="00C46EF8" w:rsidRDefault="00C46EF8" w:rsidP="00D83BBE">
      <w:pPr>
        <w:pStyle w:val="Content"/>
        <w:spacing w:after="0"/>
        <w:ind w:left="720"/>
        <w:rPr>
          <w:color w:val="0E314C"/>
          <w:spacing w:val="2"/>
          <w:sz w:val="16"/>
          <w:szCs w:val="16"/>
          <w:lang w:val="nl-BE"/>
        </w:rPr>
      </w:pPr>
    </w:p>
    <w:p w14:paraId="00BB03E0" w14:textId="7E782D17" w:rsidR="003F7D55" w:rsidRPr="003F7D55" w:rsidRDefault="001C500D" w:rsidP="003F7D55">
      <w:pPr>
        <w:pStyle w:val="Content"/>
        <w:numPr>
          <w:ilvl w:val="0"/>
          <w:numId w:val="1"/>
        </w:numPr>
        <w:spacing w:after="0"/>
        <w:rPr>
          <w:color w:val="0E314C"/>
          <w:spacing w:val="2"/>
          <w:sz w:val="16"/>
          <w:szCs w:val="16"/>
          <w:lang w:val="nl-BE"/>
        </w:rPr>
      </w:pPr>
      <w:r>
        <w:rPr>
          <w:color w:val="0E314C"/>
          <w:spacing w:val="2"/>
          <w:sz w:val="16"/>
          <w:szCs w:val="16"/>
          <w:lang w:val="nl-BE"/>
        </w:rPr>
        <w:t>De bijlage van v</w:t>
      </w:r>
      <w:r w:rsidR="003F7D55" w:rsidRPr="003F7D55">
        <w:rPr>
          <w:color w:val="0E314C"/>
          <w:spacing w:val="2"/>
          <w:sz w:val="16"/>
          <w:szCs w:val="16"/>
          <w:lang w:val="nl-BE"/>
        </w:rPr>
        <w:t xml:space="preserve">oormeld MB bevat twee </w:t>
      </w:r>
      <w:r>
        <w:rPr>
          <w:color w:val="0E314C"/>
          <w:spacing w:val="2"/>
          <w:sz w:val="16"/>
          <w:szCs w:val="16"/>
          <w:lang w:val="nl-BE"/>
        </w:rPr>
        <w:t>lijsten</w:t>
      </w:r>
      <w:r w:rsidR="003F7D55" w:rsidRPr="003F7D55">
        <w:rPr>
          <w:color w:val="0E314C"/>
          <w:spacing w:val="2"/>
          <w:sz w:val="16"/>
          <w:szCs w:val="16"/>
          <w:lang w:val="nl-BE"/>
        </w:rPr>
        <w:t xml:space="preserve"> waarbij de diensten worden opgesomd die “noodzakelijk zijn voor de bescherming van de vitale belangen van de Natie en de behoeften van de bevolking”.</w:t>
      </w:r>
    </w:p>
    <w:p w14:paraId="4EF5C47C" w14:textId="15103289" w:rsidR="001C500D" w:rsidRDefault="003F7D55" w:rsidP="001C500D">
      <w:pPr>
        <w:pStyle w:val="Content"/>
        <w:numPr>
          <w:ilvl w:val="0"/>
          <w:numId w:val="1"/>
        </w:numPr>
        <w:spacing w:after="0"/>
        <w:rPr>
          <w:color w:val="0E314C"/>
          <w:spacing w:val="2"/>
          <w:sz w:val="16"/>
          <w:szCs w:val="16"/>
          <w:lang w:val="nl-BE"/>
        </w:rPr>
      </w:pPr>
      <w:r w:rsidRPr="003F7D55">
        <w:rPr>
          <w:color w:val="0E314C"/>
          <w:spacing w:val="2"/>
          <w:sz w:val="16"/>
          <w:szCs w:val="16"/>
          <w:lang w:val="nl-BE"/>
        </w:rPr>
        <w:t xml:space="preserve">Accountants, belastingconsulenten, erkend boekhouders en erkend boekhouder-fiscalisten </w:t>
      </w:r>
      <w:r w:rsidR="001C500D">
        <w:rPr>
          <w:color w:val="0E314C"/>
          <w:spacing w:val="2"/>
          <w:sz w:val="16"/>
          <w:szCs w:val="16"/>
          <w:lang w:val="nl-BE"/>
        </w:rPr>
        <w:t xml:space="preserve">worden uitdrukkelijk </w:t>
      </w:r>
      <w:r w:rsidR="00C46EF8">
        <w:rPr>
          <w:color w:val="0E314C"/>
          <w:spacing w:val="2"/>
          <w:sz w:val="16"/>
          <w:szCs w:val="16"/>
          <w:lang w:val="nl-BE"/>
        </w:rPr>
        <w:t xml:space="preserve">genoemd </w:t>
      </w:r>
      <w:r w:rsidR="001C500D">
        <w:rPr>
          <w:color w:val="0E314C"/>
          <w:spacing w:val="2"/>
          <w:sz w:val="16"/>
          <w:szCs w:val="16"/>
          <w:lang w:val="nl-BE"/>
        </w:rPr>
        <w:t xml:space="preserve">in de eerste lijst </w:t>
      </w:r>
      <w:r w:rsidR="00C46EF8">
        <w:rPr>
          <w:color w:val="0E314C"/>
          <w:spacing w:val="2"/>
          <w:sz w:val="16"/>
          <w:szCs w:val="16"/>
          <w:lang w:val="nl-BE"/>
        </w:rPr>
        <w:t xml:space="preserve">van de bijlage </w:t>
      </w:r>
      <w:r w:rsidR="001C500D">
        <w:rPr>
          <w:color w:val="0E314C"/>
          <w:spacing w:val="2"/>
          <w:sz w:val="16"/>
          <w:szCs w:val="16"/>
          <w:lang w:val="nl-BE"/>
        </w:rPr>
        <w:t>van het MB.</w:t>
      </w:r>
    </w:p>
    <w:p w14:paraId="33B393BA" w14:textId="4F667A31" w:rsidR="003F7D55" w:rsidRDefault="001C500D" w:rsidP="001C500D">
      <w:pPr>
        <w:pStyle w:val="Content"/>
        <w:numPr>
          <w:ilvl w:val="0"/>
          <w:numId w:val="1"/>
        </w:numPr>
        <w:spacing w:after="0"/>
        <w:rPr>
          <w:color w:val="0E314C"/>
          <w:spacing w:val="2"/>
          <w:sz w:val="16"/>
          <w:szCs w:val="16"/>
          <w:lang w:val="nl-BE"/>
        </w:rPr>
      </w:pPr>
      <w:r>
        <w:rPr>
          <w:color w:val="0E314C"/>
          <w:spacing w:val="2"/>
          <w:sz w:val="16"/>
          <w:szCs w:val="16"/>
          <w:lang w:val="nl-BE"/>
        </w:rPr>
        <w:t>Zij verrichten dan ook “essentiële diensten” in de zin van artikel 3 van het MB</w:t>
      </w:r>
      <w:r w:rsidR="003F7D55" w:rsidRPr="003F7D55">
        <w:rPr>
          <w:color w:val="0E314C"/>
          <w:spacing w:val="2"/>
          <w:sz w:val="16"/>
          <w:szCs w:val="16"/>
          <w:lang w:val="nl-BE"/>
        </w:rPr>
        <w:t>.</w:t>
      </w:r>
    </w:p>
    <w:p w14:paraId="6121D8CB" w14:textId="77777777" w:rsidR="003F7D55" w:rsidRPr="003F7D55" w:rsidRDefault="003F7D55" w:rsidP="003F7D55">
      <w:pPr>
        <w:pStyle w:val="Content"/>
        <w:spacing w:after="0"/>
        <w:ind w:left="720"/>
        <w:rPr>
          <w:color w:val="0E314C"/>
          <w:spacing w:val="2"/>
          <w:sz w:val="16"/>
          <w:szCs w:val="16"/>
          <w:lang w:val="nl-BE"/>
        </w:rPr>
      </w:pPr>
    </w:p>
    <w:p w14:paraId="76055B7A" w14:textId="77777777" w:rsidR="003F7D55" w:rsidRPr="003F7D55" w:rsidRDefault="003F7D55" w:rsidP="003F7D55">
      <w:pPr>
        <w:pStyle w:val="Content"/>
        <w:spacing w:after="0"/>
        <w:ind w:left="720"/>
        <w:rPr>
          <w:color w:val="0E314C"/>
          <w:spacing w:val="2"/>
          <w:lang w:val="nl-BE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3F7D55" w:rsidRPr="00D83BBE" w14:paraId="284F67E4" w14:textId="77777777" w:rsidTr="003F7D55">
        <w:trPr>
          <w:trHeight w:val="1214"/>
        </w:trPr>
        <w:tc>
          <w:tcPr>
            <w:tcW w:w="8364" w:type="dxa"/>
          </w:tcPr>
          <w:p w14:paraId="12DC4BAA" w14:textId="76032B47" w:rsidR="003F7D55" w:rsidRPr="003F7D55" w:rsidRDefault="003F7D55" w:rsidP="003F7D55">
            <w:pPr>
              <w:pStyle w:val="Content"/>
              <w:spacing w:after="0"/>
              <w:rPr>
                <w:color w:val="0E314C"/>
                <w:spacing w:val="2"/>
                <w:lang w:val="nl-BE"/>
              </w:rPr>
            </w:pPr>
            <w:r w:rsidRPr="003F7D55">
              <w:rPr>
                <w:b/>
                <w:bCs/>
                <w:color w:val="0E314C"/>
                <w:spacing w:val="2"/>
                <w:lang w:val="nl-BE"/>
              </w:rPr>
              <w:t>Accountants, belastingconsulenten, erkend boekhouders en erkend boekhouders-fiscalisten behoren tot een essentiële sector en verlenen diensten“die noodzakelijk zijn voor de bescherming van de vitale belangen van de Natie en de behoeften van de bevolking”.</w:t>
            </w:r>
          </w:p>
        </w:tc>
      </w:tr>
    </w:tbl>
    <w:p w14:paraId="4E97A3A7" w14:textId="77777777" w:rsidR="003F7D55" w:rsidRDefault="003F7D55" w:rsidP="003F7D55">
      <w:pPr>
        <w:pStyle w:val="Content"/>
        <w:spacing w:before="240" w:after="0"/>
        <w:ind w:left="1440"/>
        <w:rPr>
          <w:b/>
          <w:bCs/>
          <w:color w:val="0E314C"/>
          <w:spacing w:val="2"/>
          <w:lang w:val="nl-BE"/>
        </w:rPr>
      </w:pPr>
    </w:p>
    <w:p w14:paraId="1786F2BB" w14:textId="2DDD87D3" w:rsidR="003F7D55" w:rsidRPr="003F7D55" w:rsidRDefault="003F7D55" w:rsidP="003F7D55">
      <w:pPr>
        <w:pStyle w:val="Content"/>
        <w:numPr>
          <w:ilvl w:val="0"/>
          <w:numId w:val="3"/>
        </w:numPr>
        <w:spacing w:before="240" w:after="0"/>
        <w:rPr>
          <w:b/>
          <w:bCs/>
          <w:color w:val="0E314C"/>
          <w:spacing w:val="2"/>
          <w:u w:val="single"/>
          <w:lang w:val="nl-BE"/>
        </w:rPr>
      </w:pPr>
      <w:r w:rsidRPr="003F7D55">
        <w:rPr>
          <w:b/>
          <w:bCs/>
          <w:color w:val="0E314C"/>
          <w:spacing w:val="2"/>
          <w:u w:val="single"/>
          <w:lang w:val="nl-BE"/>
        </w:rPr>
        <w:t>Professionele verplaatsingen</w:t>
      </w:r>
    </w:p>
    <w:p w14:paraId="7BFDF5BB" w14:textId="77777777" w:rsidR="00C46EF8" w:rsidRDefault="00C46EF8" w:rsidP="00C46EF8">
      <w:pPr>
        <w:pStyle w:val="Content"/>
        <w:spacing w:after="0"/>
        <w:ind w:left="720"/>
        <w:rPr>
          <w:color w:val="0E314C"/>
          <w:spacing w:val="2"/>
          <w:sz w:val="16"/>
          <w:szCs w:val="16"/>
          <w:lang w:val="nl-BE"/>
        </w:rPr>
      </w:pPr>
    </w:p>
    <w:p w14:paraId="2BDD6090" w14:textId="102F2728" w:rsidR="00C46EF8" w:rsidRDefault="00C46EF8" w:rsidP="00D83BBE">
      <w:pPr>
        <w:pStyle w:val="Content"/>
        <w:numPr>
          <w:ilvl w:val="0"/>
          <w:numId w:val="2"/>
        </w:numPr>
        <w:spacing w:after="0"/>
        <w:rPr>
          <w:color w:val="0E314C"/>
          <w:spacing w:val="2"/>
          <w:sz w:val="16"/>
          <w:szCs w:val="16"/>
          <w:lang w:val="nl-BE"/>
        </w:rPr>
      </w:pPr>
      <w:r>
        <w:rPr>
          <w:color w:val="0E314C"/>
          <w:spacing w:val="2"/>
          <w:sz w:val="16"/>
          <w:szCs w:val="16"/>
          <w:lang w:val="nl-BE"/>
        </w:rPr>
        <w:t xml:space="preserve">Overeenkomstig artikel 8, eerste streepje van hetzelfde MB, zijn verplaatsingen </w:t>
      </w:r>
      <w:r w:rsidRPr="00D83BBE">
        <w:rPr>
          <w:b/>
          <w:bCs/>
          <w:color w:val="0E314C"/>
          <w:spacing w:val="2"/>
          <w:sz w:val="16"/>
          <w:szCs w:val="16"/>
          <w:lang w:val="nl-BE"/>
        </w:rPr>
        <w:t>van en naar</w:t>
      </w:r>
      <w:r>
        <w:rPr>
          <w:color w:val="0E314C"/>
          <w:spacing w:val="2"/>
          <w:sz w:val="16"/>
          <w:szCs w:val="16"/>
          <w:lang w:val="nl-BE"/>
        </w:rPr>
        <w:t xml:space="preserve"> personen die essentiële diensten verrichten, toegestaan.</w:t>
      </w:r>
    </w:p>
    <w:p w14:paraId="66CE375F" w14:textId="296F6E17" w:rsidR="00C46EF8" w:rsidRDefault="00C46EF8" w:rsidP="00D83BBE">
      <w:pPr>
        <w:pStyle w:val="Content"/>
        <w:numPr>
          <w:ilvl w:val="0"/>
          <w:numId w:val="2"/>
        </w:numPr>
        <w:spacing w:after="0"/>
        <w:rPr>
          <w:color w:val="0E314C"/>
          <w:spacing w:val="2"/>
          <w:sz w:val="16"/>
          <w:szCs w:val="16"/>
          <w:lang w:val="nl-BE"/>
        </w:rPr>
      </w:pPr>
      <w:r>
        <w:rPr>
          <w:color w:val="0E314C"/>
          <w:spacing w:val="2"/>
          <w:sz w:val="16"/>
          <w:szCs w:val="16"/>
          <w:lang w:val="nl-BE"/>
        </w:rPr>
        <w:t xml:space="preserve">Bovendien zijn de verplaatsingen van leden van het ITAA en hun cliënteel ook toegestaan overeenkomstig artikel 8, </w:t>
      </w:r>
      <w:r w:rsidR="00036727">
        <w:rPr>
          <w:color w:val="0E314C"/>
          <w:spacing w:val="2"/>
          <w:sz w:val="16"/>
          <w:szCs w:val="16"/>
          <w:lang w:val="nl-BE"/>
        </w:rPr>
        <w:t>zevende</w:t>
      </w:r>
      <w:r>
        <w:rPr>
          <w:color w:val="0E314C"/>
          <w:spacing w:val="2"/>
          <w:sz w:val="16"/>
          <w:szCs w:val="16"/>
          <w:lang w:val="nl-BE"/>
        </w:rPr>
        <w:t xml:space="preserve"> streepje, van het MB, dat professionele verplaatsingen toelaat.</w:t>
      </w:r>
    </w:p>
    <w:p w14:paraId="2E6CB617" w14:textId="20808271" w:rsidR="003F7D55" w:rsidRDefault="003F7D55" w:rsidP="003F7D55">
      <w:pPr>
        <w:pStyle w:val="Content"/>
        <w:numPr>
          <w:ilvl w:val="0"/>
          <w:numId w:val="2"/>
        </w:numPr>
        <w:spacing w:after="0"/>
        <w:rPr>
          <w:color w:val="0E314C"/>
          <w:spacing w:val="2"/>
          <w:sz w:val="16"/>
          <w:szCs w:val="16"/>
          <w:lang w:val="nl-BE"/>
        </w:rPr>
      </w:pPr>
      <w:r w:rsidRPr="003F7D55">
        <w:rPr>
          <w:color w:val="0E314C"/>
          <w:spacing w:val="2"/>
          <w:sz w:val="16"/>
          <w:szCs w:val="16"/>
          <w:lang w:val="nl-BE"/>
        </w:rPr>
        <w:t xml:space="preserve">Daarbij moet worden opgemerkt dat het al dan niet dringende karakter van de verplaatsing niet in concreto moet worden aangetoond. De tekst van het MB kent </w:t>
      </w:r>
      <w:r w:rsidR="00C46EF8">
        <w:rPr>
          <w:color w:val="0E314C"/>
          <w:spacing w:val="2"/>
          <w:sz w:val="16"/>
          <w:szCs w:val="16"/>
          <w:lang w:val="nl-BE"/>
        </w:rPr>
        <w:t xml:space="preserve">verplaatsingen van en naar essentiële diensten en </w:t>
      </w:r>
      <w:r w:rsidRPr="003F7D55">
        <w:rPr>
          <w:color w:val="0E314C"/>
          <w:spacing w:val="2"/>
          <w:sz w:val="16"/>
          <w:szCs w:val="16"/>
          <w:lang w:val="nl-BE"/>
        </w:rPr>
        <w:t>professionele verplaatsingen ipso facto een noodzakelijk c.q. dringend karakter toe, en laat ze dus toe in het licht van artikel 8 van het MB.</w:t>
      </w:r>
    </w:p>
    <w:p w14:paraId="1B9251C5" w14:textId="77777777" w:rsidR="003F7D55" w:rsidRPr="003F7D55" w:rsidRDefault="003F7D55" w:rsidP="003F7D55">
      <w:pPr>
        <w:pStyle w:val="Content"/>
        <w:spacing w:after="0"/>
        <w:rPr>
          <w:color w:val="0E314C"/>
          <w:spacing w:val="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F7D55" w:rsidRPr="00D83BBE" w14:paraId="17A7C9DF" w14:textId="77777777" w:rsidTr="00A76C32">
        <w:tc>
          <w:tcPr>
            <w:tcW w:w="8495" w:type="dxa"/>
          </w:tcPr>
          <w:p w14:paraId="5BD3FFC6" w14:textId="7D1384CC" w:rsidR="003F7D55" w:rsidRPr="00183CEE" w:rsidRDefault="003F7D55" w:rsidP="003F7D55">
            <w:pPr>
              <w:pStyle w:val="Content"/>
              <w:numPr>
                <w:ilvl w:val="0"/>
                <w:numId w:val="4"/>
              </w:numPr>
              <w:spacing w:after="0"/>
              <w:rPr>
                <w:b/>
                <w:bCs/>
                <w:color w:val="0E314C"/>
                <w:spacing w:val="2"/>
                <w:lang w:val="nl-BE"/>
              </w:rPr>
            </w:pPr>
            <w:r w:rsidRPr="00183CEE">
              <w:rPr>
                <w:b/>
                <w:bCs/>
                <w:color w:val="0E314C"/>
                <w:spacing w:val="2"/>
                <w:lang w:val="nl-BE"/>
              </w:rPr>
              <w:t xml:space="preserve">Het is accountants, belastingconsulenten, </w:t>
            </w:r>
            <w:r w:rsidR="00C46EF8">
              <w:rPr>
                <w:b/>
                <w:bCs/>
                <w:color w:val="0E314C"/>
                <w:spacing w:val="2"/>
                <w:lang w:val="nl-BE"/>
              </w:rPr>
              <w:t xml:space="preserve">erkend </w:t>
            </w:r>
            <w:r w:rsidRPr="00183CEE">
              <w:rPr>
                <w:b/>
                <w:bCs/>
                <w:color w:val="0E314C"/>
                <w:spacing w:val="2"/>
                <w:lang w:val="nl-BE"/>
              </w:rPr>
              <w:t>boekhouders en</w:t>
            </w:r>
            <w:r w:rsidR="00C46EF8">
              <w:rPr>
                <w:b/>
                <w:bCs/>
                <w:color w:val="0E314C"/>
                <w:spacing w:val="2"/>
                <w:lang w:val="nl-BE"/>
              </w:rPr>
              <w:t xml:space="preserve"> erkend</w:t>
            </w:r>
            <w:r w:rsidRPr="00183CEE">
              <w:rPr>
                <w:b/>
                <w:bCs/>
                <w:color w:val="0E314C"/>
                <w:spacing w:val="2"/>
                <w:lang w:val="nl-BE"/>
              </w:rPr>
              <w:t xml:space="preserve"> boekhouder-fiscalisten</w:t>
            </w:r>
            <w:r w:rsidR="00C46EF8">
              <w:rPr>
                <w:b/>
                <w:bCs/>
                <w:color w:val="0E314C"/>
                <w:spacing w:val="2"/>
                <w:lang w:val="nl-BE"/>
              </w:rPr>
              <w:t>, als essentiële dienstverleners,</w:t>
            </w:r>
            <w:r w:rsidRPr="00183CEE">
              <w:rPr>
                <w:b/>
                <w:bCs/>
                <w:color w:val="0E314C"/>
                <w:spacing w:val="2"/>
                <w:lang w:val="nl-BE"/>
              </w:rPr>
              <w:t xml:space="preserve"> wettelijk toegelaten om documenten </w:t>
            </w:r>
            <w:r w:rsidR="00C46EF8">
              <w:rPr>
                <w:b/>
                <w:bCs/>
                <w:color w:val="0E314C"/>
                <w:spacing w:val="2"/>
                <w:lang w:val="nl-BE"/>
              </w:rPr>
              <w:t xml:space="preserve">aan te leveren of </w:t>
            </w:r>
            <w:r w:rsidRPr="00183CEE">
              <w:rPr>
                <w:b/>
                <w:bCs/>
                <w:color w:val="0E314C"/>
                <w:spacing w:val="2"/>
                <w:lang w:val="nl-BE"/>
              </w:rPr>
              <w:t>op te halen bij hun cliënten.</w:t>
            </w:r>
          </w:p>
          <w:p w14:paraId="2A04DD3A" w14:textId="06F997CA" w:rsidR="003F7D55" w:rsidRPr="00183CEE" w:rsidRDefault="003F7D55" w:rsidP="004D27BB">
            <w:pPr>
              <w:pStyle w:val="Content"/>
              <w:numPr>
                <w:ilvl w:val="0"/>
                <w:numId w:val="4"/>
              </w:numPr>
              <w:spacing w:after="0"/>
              <w:rPr>
                <w:b/>
                <w:bCs/>
                <w:color w:val="0E314C"/>
                <w:spacing w:val="2"/>
                <w:lang w:val="nl-BE"/>
              </w:rPr>
            </w:pPr>
            <w:r w:rsidRPr="00183CEE">
              <w:rPr>
                <w:b/>
                <w:bCs/>
                <w:color w:val="0E314C"/>
                <w:spacing w:val="2"/>
                <w:lang w:val="nl-BE"/>
              </w:rPr>
              <w:t xml:space="preserve">Het is cliënten van accountants, belastingconsulenten, </w:t>
            </w:r>
            <w:r w:rsidR="00C46EF8">
              <w:rPr>
                <w:b/>
                <w:bCs/>
                <w:color w:val="0E314C"/>
                <w:spacing w:val="2"/>
                <w:lang w:val="nl-BE"/>
              </w:rPr>
              <w:t xml:space="preserve">erkend </w:t>
            </w:r>
            <w:r w:rsidRPr="00183CEE">
              <w:rPr>
                <w:b/>
                <w:bCs/>
                <w:color w:val="0E314C"/>
                <w:spacing w:val="2"/>
                <w:lang w:val="nl-BE"/>
              </w:rPr>
              <w:t xml:space="preserve">boekhouders en </w:t>
            </w:r>
            <w:r w:rsidR="00C46EF8">
              <w:rPr>
                <w:b/>
                <w:bCs/>
                <w:color w:val="0E314C"/>
                <w:spacing w:val="2"/>
                <w:lang w:val="nl-BE"/>
              </w:rPr>
              <w:t xml:space="preserve">erkend </w:t>
            </w:r>
            <w:r w:rsidRPr="00183CEE">
              <w:rPr>
                <w:b/>
                <w:bCs/>
                <w:color w:val="0E314C"/>
                <w:spacing w:val="2"/>
                <w:lang w:val="nl-BE"/>
              </w:rPr>
              <w:t xml:space="preserve">boekhouders-fiscalisten wettelijk toegelaten om bij deze laatsten documenten </w:t>
            </w:r>
            <w:r w:rsidR="004D27BB" w:rsidRPr="00183CEE">
              <w:rPr>
                <w:b/>
                <w:bCs/>
                <w:color w:val="0E314C"/>
                <w:spacing w:val="2"/>
                <w:lang w:val="nl-BE"/>
              </w:rPr>
              <w:t xml:space="preserve">aan te leveren of </w:t>
            </w:r>
            <w:r w:rsidRPr="00183CEE">
              <w:rPr>
                <w:b/>
                <w:bCs/>
                <w:color w:val="0E314C"/>
                <w:spacing w:val="2"/>
                <w:lang w:val="nl-BE"/>
              </w:rPr>
              <w:t xml:space="preserve">op te halen in het kader van hun </w:t>
            </w:r>
            <w:r w:rsidR="00C46EF8">
              <w:rPr>
                <w:b/>
                <w:bCs/>
                <w:color w:val="0E314C"/>
                <w:spacing w:val="2"/>
                <w:lang w:val="nl-BE"/>
              </w:rPr>
              <w:t>essentiële dienstverlening</w:t>
            </w:r>
            <w:r w:rsidRPr="00183CEE">
              <w:rPr>
                <w:b/>
                <w:bCs/>
                <w:color w:val="0E314C"/>
                <w:spacing w:val="2"/>
                <w:lang w:val="nl-BE"/>
              </w:rPr>
              <w:t xml:space="preserve">. </w:t>
            </w:r>
          </w:p>
        </w:tc>
      </w:tr>
    </w:tbl>
    <w:p w14:paraId="4F09F30E" w14:textId="07320D27" w:rsidR="00611EC6" w:rsidRPr="003F7D55" w:rsidRDefault="00183CEE" w:rsidP="00EA7D0C">
      <w:pPr>
        <w:pStyle w:val="Content"/>
        <w:jc w:val="center"/>
        <w:rPr>
          <w:lang w:val="nl-BE"/>
        </w:rPr>
      </w:pPr>
      <w:r w:rsidRPr="00183CEE">
        <w:rPr>
          <w:b/>
          <w:bCs/>
          <w:lang w:val="nl-BE"/>
        </w:rPr>
        <w:t>Het Instituut is bereikbaar op het nummer 02.240.00.00</w:t>
      </w:r>
    </w:p>
    <w:sectPr w:rsidR="00611EC6" w:rsidRPr="003F7D55" w:rsidSect="00611EC6">
      <w:headerReference w:type="default" r:id="rId10"/>
      <w:headerReference w:type="first" r:id="rId11"/>
      <w:pgSz w:w="11900" w:h="16840"/>
      <w:pgMar w:top="1247" w:right="124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E5B4" w14:textId="77777777" w:rsidR="007C1FDB" w:rsidRDefault="007C1FDB" w:rsidP="00E82466">
      <w:r>
        <w:separator/>
      </w:r>
    </w:p>
  </w:endnote>
  <w:endnote w:type="continuationSeparator" w:id="0">
    <w:p w14:paraId="1F9F778D" w14:textId="77777777" w:rsidR="007C1FDB" w:rsidRDefault="007C1FDB" w:rsidP="00E8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E900" w14:textId="77777777" w:rsidR="007C1FDB" w:rsidRDefault="007C1FDB" w:rsidP="00E82466">
      <w:r>
        <w:separator/>
      </w:r>
    </w:p>
  </w:footnote>
  <w:footnote w:type="continuationSeparator" w:id="0">
    <w:p w14:paraId="4DD0EABC" w14:textId="77777777" w:rsidR="007C1FDB" w:rsidRDefault="007C1FDB" w:rsidP="00E8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F10C" w14:textId="77777777" w:rsidR="00611EC6" w:rsidRDefault="00611EC6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AE2D49" wp14:editId="1C0BF475">
          <wp:simplePos x="0" y="0"/>
          <wp:positionH relativeFrom="column">
            <wp:posOffset>-772795</wp:posOffset>
          </wp:positionH>
          <wp:positionV relativeFrom="paragraph">
            <wp:posOffset>1245235</wp:posOffset>
          </wp:positionV>
          <wp:extent cx="7522210" cy="8962390"/>
          <wp:effectExtent l="0" t="0" r="254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58" b="-1"/>
                  <a:stretch/>
                </pic:blipFill>
                <pic:spPr bwMode="auto">
                  <a:xfrm>
                    <a:off x="0" y="0"/>
                    <a:ext cx="7522210" cy="8962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BAD1" w14:textId="77777777" w:rsidR="0022019C" w:rsidRDefault="00611EC6" w:rsidP="00611EC6">
    <w:pPr>
      <w:ind w:left="284"/>
      <w:rPr>
        <w:rStyle w:val="Paginanumme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E9FC51" wp14:editId="16819EC6">
          <wp:simplePos x="0" y="0"/>
          <wp:positionH relativeFrom="column">
            <wp:posOffset>-1047750</wp:posOffset>
          </wp:positionH>
          <wp:positionV relativeFrom="paragraph">
            <wp:posOffset>-429260</wp:posOffset>
          </wp:positionV>
          <wp:extent cx="7522210" cy="10629265"/>
          <wp:effectExtent l="0" t="0" r="254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"/>
                  <a:stretch/>
                </pic:blipFill>
                <pic:spPr bwMode="auto">
                  <a:xfrm>
                    <a:off x="0" y="0"/>
                    <a:ext cx="7522210" cy="1062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1ADF4" w14:textId="73EB5A61" w:rsidR="00E82466" w:rsidRDefault="00E82466" w:rsidP="0022019C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387"/>
    <w:multiLevelType w:val="hybridMultilevel"/>
    <w:tmpl w:val="B6E043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3F5"/>
    <w:multiLevelType w:val="hybridMultilevel"/>
    <w:tmpl w:val="5EE60184"/>
    <w:lvl w:ilvl="0" w:tplc="2670E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4DE5"/>
    <w:multiLevelType w:val="hybridMultilevel"/>
    <w:tmpl w:val="17EC14A6"/>
    <w:lvl w:ilvl="0" w:tplc="093ED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C52"/>
    <w:multiLevelType w:val="hybridMultilevel"/>
    <w:tmpl w:val="3E84B686"/>
    <w:lvl w:ilvl="0" w:tplc="A698A3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341A1"/>
    <w:multiLevelType w:val="hybridMultilevel"/>
    <w:tmpl w:val="01624F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66"/>
    <w:rsid w:val="000230A8"/>
    <w:rsid w:val="00036727"/>
    <w:rsid w:val="00115864"/>
    <w:rsid w:val="00183CEE"/>
    <w:rsid w:val="001C500D"/>
    <w:rsid w:val="0022019C"/>
    <w:rsid w:val="00223EAA"/>
    <w:rsid w:val="00282854"/>
    <w:rsid w:val="002B5D72"/>
    <w:rsid w:val="00323574"/>
    <w:rsid w:val="00366C38"/>
    <w:rsid w:val="00382C08"/>
    <w:rsid w:val="003C0281"/>
    <w:rsid w:val="003F7D55"/>
    <w:rsid w:val="00475980"/>
    <w:rsid w:val="004D27BB"/>
    <w:rsid w:val="004D7B85"/>
    <w:rsid w:val="00503B96"/>
    <w:rsid w:val="00556687"/>
    <w:rsid w:val="005C767E"/>
    <w:rsid w:val="005E5DD0"/>
    <w:rsid w:val="00602C8C"/>
    <w:rsid w:val="00611EC6"/>
    <w:rsid w:val="0072165A"/>
    <w:rsid w:val="007410A4"/>
    <w:rsid w:val="007C1FDB"/>
    <w:rsid w:val="00800189"/>
    <w:rsid w:val="008451D1"/>
    <w:rsid w:val="008738C2"/>
    <w:rsid w:val="00890CA5"/>
    <w:rsid w:val="008D5997"/>
    <w:rsid w:val="00906C26"/>
    <w:rsid w:val="009129DE"/>
    <w:rsid w:val="00916CBC"/>
    <w:rsid w:val="00934CBE"/>
    <w:rsid w:val="009557F3"/>
    <w:rsid w:val="009806AA"/>
    <w:rsid w:val="0098226F"/>
    <w:rsid w:val="009D1374"/>
    <w:rsid w:val="00A65BEC"/>
    <w:rsid w:val="00A73AEA"/>
    <w:rsid w:val="00AF49FD"/>
    <w:rsid w:val="00B05280"/>
    <w:rsid w:val="00B11A71"/>
    <w:rsid w:val="00C46EF8"/>
    <w:rsid w:val="00CE5718"/>
    <w:rsid w:val="00D83BBE"/>
    <w:rsid w:val="00D9127C"/>
    <w:rsid w:val="00DA7818"/>
    <w:rsid w:val="00DD582B"/>
    <w:rsid w:val="00E60A0F"/>
    <w:rsid w:val="00E652AD"/>
    <w:rsid w:val="00E82466"/>
    <w:rsid w:val="00E86DD3"/>
    <w:rsid w:val="00EA1A4E"/>
    <w:rsid w:val="00EA7D0C"/>
    <w:rsid w:val="00FA469F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283CF"/>
  <w15:chartTrackingRefBased/>
  <w15:docId w15:val="{25D7D4ED-106F-E747-9A4D-0A0B4B34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24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2466"/>
  </w:style>
  <w:style w:type="paragraph" w:styleId="Voettekst">
    <w:name w:val="footer"/>
    <w:basedOn w:val="Standaard"/>
    <w:link w:val="VoettekstChar"/>
    <w:uiPriority w:val="99"/>
    <w:unhideWhenUsed/>
    <w:rsid w:val="00E824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2466"/>
  </w:style>
  <w:style w:type="paragraph" w:customStyle="1" w:styleId="Recipient">
    <w:name w:val="Recipient"/>
    <w:qFormat/>
    <w:rsid w:val="009129DE"/>
    <w:pPr>
      <w:tabs>
        <w:tab w:val="left" w:pos="2032"/>
      </w:tabs>
      <w:spacing w:before="1800" w:after="1920" w:line="280" w:lineRule="exact"/>
      <w:ind w:left="5387"/>
      <w:contextualSpacing/>
    </w:pPr>
    <w:rPr>
      <w:rFonts w:ascii="Arial" w:hAnsi="Arial" w:cs="Arial"/>
      <w:color w:val="11293B"/>
      <w:w w:val="105"/>
      <w:sz w:val="20"/>
      <w:szCs w:val="20"/>
    </w:rPr>
  </w:style>
  <w:style w:type="paragraph" w:customStyle="1" w:styleId="Content">
    <w:name w:val="Content"/>
    <w:basedOn w:val="Recipient"/>
    <w:qFormat/>
    <w:rsid w:val="00503B96"/>
    <w:pPr>
      <w:adjustRightInd w:val="0"/>
      <w:spacing w:before="0" w:after="480"/>
      <w:ind w:left="0"/>
      <w:contextualSpacing w:val="0"/>
    </w:pPr>
  </w:style>
  <w:style w:type="paragraph" w:customStyle="1" w:styleId="Paragraphestandard">
    <w:name w:val="[Paragraphe standard]"/>
    <w:basedOn w:val="Standaard"/>
    <w:uiPriority w:val="99"/>
    <w:rsid w:val="002201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character" w:styleId="Paginanummer">
    <w:name w:val="page number"/>
    <w:basedOn w:val="Standaardalinea-lettertype"/>
    <w:uiPriority w:val="99"/>
    <w:semiHidden/>
    <w:unhideWhenUsed/>
    <w:rsid w:val="0022019C"/>
  </w:style>
  <w:style w:type="character" w:styleId="Tekstvantijdelijkeaanduiding">
    <w:name w:val="Placeholder Text"/>
    <w:basedOn w:val="Standaardalinea-lettertype"/>
    <w:uiPriority w:val="99"/>
    <w:semiHidden/>
    <w:rsid w:val="00611EC6"/>
    <w:rPr>
      <w:color w:val="808080"/>
    </w:rPr>
  </w:style>
  <w:style w:type="table" w:styleId="Tabelraster">
    <w:name w:val="Table Grid"/>
    <w:basedOn w:val="Standaardtabel"/>
    <w:uiPriority w:val="39"/>
    <w:rsid w:val="003F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3F7D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7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06C26"/>
    <w:pPr>
      <w:ind w:left="720"/>
      <w:contextualSpacing/>
      <w:jc w:val="both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5D7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D7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8E07A908EB84BAF59A5538738C294" ma:contentTypeVersion="8" ma:contentTypeDescription="Een nieuw document maken." ma:contentTypeScope="" ma:versionID="c9695b52346d60a1b4a1cea6c55bda09">
  <xsd:schema xmlns:xsd="http://www.w3.org/2001/XMLSchema" xmlns:xs="http://www.w3.org/2001/XMLSchema" xmlns:p="http://schemas.microsoft.com/office/2006/metadata/properties" xmlns:ns3="52d64006-a607-4741-867e-e186c3b2d691" targetNamespace="http://schemas.microsoft.com/office/2006/metadata/properties" ma:root="true" ma:fieldsID="9b908b06bf3eb74f05bb849b6cf6d21c" ns3:_="">
    <xsd:import namespace="52d64006-a607-4741-867e-e186c3b2d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64006-a607-4741-867e-e186c3b2d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BECEF-6FB2-4E71-934B-03119EA2B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64006-a607-4741-867e-e186c3b2d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5F650-974E-48C2-9D2C-8277FDF9A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03BEA-1E0B-48E3-AE6B-E67EF5141922}">
  <ds:schemaRefs>
    <ds:schemaRef ds:uri="http://schemas.openxmlformats.org/package/2006/metadata/core-properties"/>
    <ds:schemaRef ds:uri="52d64006-a607-4741-867e-e186c3b2d69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Ronane Hoet</dc:creator>
  <cp:keywords/>
  <dc:description/>
  <cp:lastModifiedBy>Claudia Erna</cp:lastModifiedBy>
  <cp:revision>2</cp:revision>
  <cp:lastPrinted>2020-03-12T17:40:00Z</cp:lastPrinted>
  <dcterms:created xsi:type="dcterms:W3CDTF">2020-05-05T09:52:00Z</dcterms:created>
  <dcterms:modified xsi:type="dcterms:W3CDTF">2020-05-05T09:52:00Z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0x010100A248E07A908EB84BAF59A5538738C294</vt:lpwstr>
  </property>
</Properties>
</file>